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476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2614/20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right="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</w:t>
      </w:r>
      <w:r>
        <w:rPr>
          <w:rFonts w:ascii="Times New Roman" w:eastAsia="Times New Roman" w:hAnsi="Times New Roman" w:cs="Times New Roman"/>
          <w:sz w:val="26"/>
          <w:szCs w:val="26"/>
        </w:rPr>
        <w:t>69</w:t>
      </w:r>
      <w:r>
        <w:rPr>
          <w:rFonts w:ascii="Times New Roman" w:eastAsia="Times New Roman" w:hAnsi="Times New Roman" w:cs="Times New Roman"/>
          <w:sz w:val="26"/>
          <w:szCs w:val="26"/>
        </w:rPr>
        <w:t>-01-202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832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81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>Думлер 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находящийся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Ханты-Мансийский АО-Югра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Сургут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ул.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 9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sz w:val="26"/>
          <w:szCs w:val="26"/>
        </w:rPr>
        <w:t>. 402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szCs w:val="26"/>
        </w:rPr>
        <w:t>Мурзаева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К.А.,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материалы дела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правонарушении, предусмотренном ч. 2 ст. 12.2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Мурзаева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Кусепа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Артуровича, </w:t>
      </w:r>
      <w:r>
        <w:rPr>
          <w:rStyle w:val="cat-UserDefinedgrp-44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firstLine="4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Сосновая около д.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eastAsia="Times New Roman" w:hAnsi="Times New Roman" w:cs="Times New Roman"/>
          <w:sz w:val="26"/>
          <w:szCs w:val="26"/>
        </w:rPr>
        <w:t>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лицо, привлекаемое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управлял транспортным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средством </w:t>
      </w:r>
      <w:r>
        <w:rPr>
          <w:rStyle w:val="cat-UserDefinedgrp-45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регистрационн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знак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6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без </w:t>
      </w:r>
      <w:r>
        <w:rPr>
          <w:rFonts w:ascii="Times New Roman" w:eastAsia="Times New Roman" w:hAnsi="Times New Roman" w:cs="Times New Roman"/>
          <w:sz w:val="26"/>
          <w:szCs w:val="26"/>
        </w:rPr>
        <w:t>заднего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знак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Мурзаев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К.А.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судебном заседании вину признал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материалы дела и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представленные доказательства, мировой судья приходит к следующему.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 11 Основных положений по допуску транспортных средств к эксплуатации и обязанностей должностных лиц по обеспечению безопасности дорожного движения (в ред. постановления Правительства РФ от 30.09.2008 г. N 732), запрещается эксплуатация транспортных средств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разъяснению, содержащемуся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п.5.1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постановления Пленума Верховного Суда РФ от 24 октября 2006г. N 18 "О некоторых вопросах, возникающих у судов при применении Особенной части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КоАП РФ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" (в редакции от 09 февраля 2012г.), объективную сторону административного правонарушения, предусмотренного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ч.2 ст.12.2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оАП РФ, образуют действия лица по управлению транспортным средством без государственных регистрационных знаков, установленных на предусмотренных для этого местах, (в том числе только одного из них).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2.2 Правил дорожного движения, утвержденных Постановлением Правительства РФ от 23 октября 1993 г. N 1090 водитель обязан иметь на данном транспортном средстве (при наличии прицепа - 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 прицепе) регистрационные и отличительные знаки государства,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котором оно зарегистрировано.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Перечнем неисправностей и условий, при которых запрещается эксплуатация транспортных средств (п. 7.15 приложения </w:t>
      </w:r>
      <w:r>
        <w:rPr>
          <w:rFonts w:ascii="Times New Roman" w:eastAsia="Times New Roman" w:hAnsi="Times New Roman" w:cs="Times New Roman"/>
          <w:sz w:val="26"/>
          <w:szCs w:val="26"/>
        </w:rPr>
        <w:t>к Основных положений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допуску транспортных средств к эксплуатации и обязанностей должностных лиц по обеспечению безопасности дорожного движения), запрещается эксплуатация транспортных средств в случае если государственный регистрационный знак транспортного средства или способ его установки не отвечает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ГОСТу Р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50577-93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И.2-И.3 приложения «И - </w:t>
      </w:r>
      <w:r>
        <w:rPr>
          <w:rFonts w:ascii="Arial" w:eastAsia="Arial" w:hAnsi="Arial" w:cs="Arial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ребования к установке государственных регистрационных знаков на транспортных средствах»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Государственного стандарта РФ ГОСТ Р 50577-93 "Знаки государственные регистрационные транспортных средств. Типы и основные размеры. Технические требования" - место для установки регистрационного знака должно представлять собой плоскую вертикальную прямоугольную поверхность и выбираться таким образом, чтобы исключалось загораживание знака элементами конструкции транспортного средства, загрязнение при эксплуатации транспортного средства и затруднение прочтения. При этом регистрационные знаки не должны уменьшать углы переднего и заднего свесов транспортного средства, закрывать внешние световые и светосигнальные приборы, выступать за боковой габарит транспортного средства. П</w:t>
      </w:r>
      <w:r>
        <w:rPr>
          <w:rFonts w:ascii="Times New Roman" w:eastAsia="Times New Roman" w:hAnsi="Times New Roman" w:cs="Times New Roman"/>
          <w:sz w:val="26"/>
          <w:szCs w:val="26"/>
        </w:rPr>
        <w:t>ередний регистрационный знак должен устанавливаться, как правило, по оси симметрии транспортного средства. Допускается установка переднего регистрационного знака слева от оси симметрии транспортного средства по направлению движения транспортного средства.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 материалам дела приложен фотоматериал, согласно которого на фотографии изображено транспортное средство без установленного на предусмотренном для этого месте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заднего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знак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Совокупность доказательств позволяет мировому судье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лица, привлекаемого к административной ответственности,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данного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Деяни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 </w:t>
      </w:r>
      <w:r>
        <w:rPr>
          <w:rFonts w:ascii="Times New Roman" w:eastAsia="Times New Roman" w:hAnsi="Times New Roman" w:cs="Times New Roman"/>
          <w:sz w:val="26"/>
          <w:szCs w:val="26"/>
        </w:rPr>
        <w:t>Мурзаева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Кусепа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Артуровича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квалифицирует по ч.2 ст.12.2 КоАП РФ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управление транспортным средством без установленных на предусмотренных для этого местах государственных регистрационных знаков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предусмотренных ст. 4.2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мировым судьёй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установлено.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>
        <w:rPr>
          <w:rFonts w:ascii="Times New Roman" w:eastAsia="Times New Roman" w:hAnsi="Times New Roman" w:cs="Times New Roman"/>
          <w:sz w:val="26"/>
          <w:szCs w:val="26"/>
        </w:rPr>
        <w:t>, наличие отягчающего обстоятельства.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>выше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изложенного и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>
        <w:rPr>
          <w:rFonts w:ascii="Times New Roman" w:eastAsia="Times New Roman" w:hAnsi="Times New Roman" w:cs="Times New Roman"/>
          <w:sz w:val="26"/>
          <w:szCs w:val="26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суд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Мурзаева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Кусепа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Артуровича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2 ст. 12.2 КоАП РФ и подвергнуть наказанию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виде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5000 (</w:t>
      </w:r>
      <w:r>
        <w:rPr>
          <w:rFonts w:ascii="Times New Roman" w:eastAsia="Times New Roman" w:hAnsi="Times New Roman" w:cs="Times New Roman"/>
          <w:sz w:val="26"/>
          <w:szCs w:val="26"/>
        </w:rPr>
        <w:t>пяти тысяч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ОКЦ № 8 УГУ Банка России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Ханты-Мансийска; БИК 007 162 163; ОКТМО г. Сургута 718 76 000; ИНН 860 101 0390; КПП 860 101 001; КБК 18811601123010001140; Получатель: УФК по ХМАО-Югре (УМВД России по ХМАО-Югре); УИН 188 104 862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2312</w:t>
      </w:r>
      <w:r>
        <w:rPr>
          <w:rFonts w:ascii="Times New Roman" w:eastAsia="Times New Roman" w:hAnsi="Times New Roman" w:cs="Times New Roman"/>
          <w:sz w:val="26"/>
          <w:szCs w:val="26"/>
        </w:rPr>
        <w:t>,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п.1.3 ст. 32.2 КоАП РФ,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Квитанцию об уплате штрафа необходимо предоставить в кб. 10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ул. Гагарина д. 9 г.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либо направить на электронный адрес: Surgut14@mirsud86.ru </w:t>
      </w:r>
      <w:r>
        <w:rPr>
          <w:rFonts w:ascii="Times New Roman" w:eastAsia="Times New Roman" w:hAnsi="Times New Roman" w:cs="Times New Roman"/>
          <w:sz w:val="26"/>
          <w:szCs w:val="26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города окружного значения Сургут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6"/>
          <w:szCs w:val="26"/>
        </w:rPr>
        <w:t>Думлер Г.П.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феврал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476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2614/20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67348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44rplc-9">
    <w:name w:val="cat-UserDefined grp-44 rplc-9"/>
    <w:basedOn w:val="DefaultParagraphFont"/>
  </w:style>
  <w:style w:type="character" w:customStyle="1" w:styleId="cat-UserDefinedgrp-45rplc-21">
    <w:name w:val="cat-UserDefined grp-45 rplc-21"/>
    <w:basedOn w:val="DefaultParagraphFont"/>
  </w:style>
  <w:style w:type="character" w:customStyle="1" w:styleId="cat-UserDefinedgrp-46rplc-24">
    <w:name w:val="cat-UserDefined grp-46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0217.51/" TargetMode="External" /><Relationship Id="rId5" Type="http://schemas.openxmlformats.org/officeDocument/2006/relationships/hyperlink" Target="garantf1://12025267.0/" TargetMode="External" /><Relationship Id="rId6" Type="http://schemas.openxmlformats.org/officeDocument/2006/relationships/hyperlink" Target="garantf1://12025267.12202/" TargetMode="External" /><Relationship Id="rId7" Type="http://schemas.openxmlformats.org/officeDocument/2006/relationships/hyperlink" Target="garantF1://12042212.0" TargetMode="External" /><Relationship Id="rId8" Type="http://schemas.openxmlformats.org/officeDocument/2006/relationships/header" Target="header1.xml" /><Relationship Id="rId9" Type="http://schemas.openxmlformats.org/officeDocument/2006/relationships/glossaryDocument" Target="glossary/document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36DBC-5FBF-4296-9CC9-9B0494BA25E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